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C79EE" w14:textId="77777777" w:rsidR="000D174D" w:rsidRPr="00940ED9" w:rsidRDefault="000D174D" w:rsidP="000D174D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 w:rsidRPr="00940ED9">
        <w:rPr>
          <w:rFonts w:ascii="Arial" w:hAnsi="Arial"/>
          <w:b/>
          <w:bCs/>
          <w:sz w:val="20"/>
          <w:szCs w:val="20"/>
        </w:rPr>
        <w:t>SUPPLEMENTARY DATA</w:t>
      </w:r>
    </w:p>
    <w:p w14:paraId="4F8E4BBE" w14:textId="77777777" w:rsidR="000D174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7F0B20">
        <w:rPr>
          <w:rFonts w:ascii="Arial" w:hAnsi="Arial"/>
          <w:b/>
          <w:sz w:val="20"/>
          <w:szCs w:val="20"/>
          <w:lang w:val="en-US"/>
        </w:rPr>
        <w:t xml:space="preserve">Figure </w:t>
      </w:r>
      <w:r>
        <w:rPr>
          <w:rFonts w:ascii="Arial" w:hAnsi="Arial"/>
          <w:b/>
          <w:sz w:val="20"/>
          <w:szCs w:val="20"/>
          <w:lang w:val="en-US"/>
        </w:rPr>
        <w:t>S</w:t>
      </w:r>
      <w:r w:rsidRPr="007F0B20">
        <w:rPr>
          <w:rFonts w:ascii="Arial" w:hAnsi="Arial"/>
          <w:b/>
          <w:sz w:val="20"/>
          <w:szCs w:val="20"/>
          <w:lang w:val="en-US"/>
        </w:rPr>
        <w:t xml:space="preserve">1: </w:t>
      </w:r>
      <w:r>
        <w:rPr>
          <w:rFonts w:ascii="Arial" w:hAnsi="Arial"/>
          <w:b/>
          <w:sz w:val="20"/>
          <w:szCs w:val="20"/>
          <w:lang w:val="en-US"/>
        </w:rPr>
        <w:t xml:space="preserve">(A) </w:t>
      </w:r>
      <w:r w:rsidRPr="001F6C86">
        <w:rPr>
          <w:rFonts w:ascii="Arial" w:hAnsi="Arial"/>
          <w:sz w:val="20"/>
          <w:szCs w:val="20"/>
          <w:lang w:val="en-US"/>
        </w:rPr>
        <w:t>Confocal microscopy images of L2-4 cells stained with rabbit anti-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proofErr w:type="spellEnd"/>
      <w:r w:rsidRPr="001F6C86">
        <w:rPr>
          <w:rFonts w:ascii="Arial" w:hAnsi="Arial"/>
          <w:sz w:val="20"/>
          <w:szCs w:val="20"/>
          <w:lang w:val="en-US"/>
        </w:rPr>
        <w:t>, anti-HMR 2C10 and anti-HP1a C1A9 antibodies.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>Line profile plot</w:t>
      </w:r>
      <w:r w:rsidRPr="007F0B20"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>was</w:t>
      </w:r>
      <w:r w:rsidRPr="007F0B20">
        <w:rPr>
          <w:rFonts w:ascii="Arial" w:hAnsi="Arial"/>
          <w:sz w:val="20"/>
          <w:szCs w:val="20"/>
          <w:lang w:val="en-US"/>
        </w:rPr>
        <w:t xml:space="preserve"> built in ImageJ and normalized to the </w:t>
      </w:r>
      <w:r>
        <w:rPr>
          <w:rFonts w:ascii="Arial" w:hAnsi="Arial"/>
          <w:sz w:val="20"/>
          <w:szCs w:val="20"/>
          <w:lang w:val="en-US"/>
        </w:rPr>
        <w:t xml:space="preserve">corresponding </w:t>
      </w:r>
      <w:r w:rsidRPr="007F0B20">
        <w:rPr>
          <w:rFonts w:ascii="Arial" w:hAnsi="Arial"/>
          <w:sz w:val="20"/>
          <w:szCs w:val="20"/>
          <w:lang w:val="en-US"/>
        </w:rPr>
        <w:t xml:space="preserve">maximum peak. </w:t>
      </w:r>
      <w:r>
        <w:rPr>
          <w:rFonts w:ascii="Arial" w:hAnsi="Arial"/>
          <w:sz w:val="20"/>
          <w:szCs w:val="20"/>
          <w:lang w:val="en-US"/>
        </w:rPr>
        <w:t xml:space="preserve">Right panel: distribution of images’ Spearman correlations. </w:t>
      </w:r>
      <w:r w:rsidRPr="007B78DE">
        <w:rPr>
          <w:rFonts w:ascii="Arial" w:hAnsi="Arial"/>
          <w:b/>
          <w:sz w:val="20"/>
          <w:szCs w:val="20"/>
          <w:lang w:val="en-US"/>
        </w:rPr>
        <w:t>(B)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>HMR staining in HMR</w:t>
      </w:r>
      <w:r w:rsidRPr="007B78DE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 xml:space="preserve"> cell line. </w:t>
      </w:r>
      <w:r w:rsidRPr="007F0B20">
        <w:rPr>
          <w:rFonts w:ascii="Arial" w:hAnsi="Arial"/>
          <w:sz w:val="20"/>
          <w:szCs w:val="20"/>
          <w:lang w:val="en-US"/>
        </w:rPr>
        <w:t xml:space="preserve">For </w:t>
      </w:r>
      <w:r>
        <w:rPr>
          <w:rFonts w:ascii="Arial" w:hAnsi="Arial"/>
          <w:sz w:val="20"/>
          <w:szCs w:val="20"/>
          <w:lang w:val="en-US"/>
        </w:rPr>
        <w:t xml:space="preserve">selected </w:t>
      </w:r>
      <w:r w:rsidRPr="007F0B20">
        <w:rPr>
          <w:rFonts w:ascii="Arial" w:hAnsi="Arial"/>
          <w:sz w:val="20"/>
          <w:szCs w:val="20"/>
          <w:lang w:val="en-US"/>
        </w:rPr>
        <w:t>cells (indicated b</w:t>
      </w:r>
      <w:r>
        <w:rPr>
          <w:rFonts w:ascii="Arial" w:hAnsi="Arial"/>
          <w:sz w:val="20"/>
          <w:szCs w:val="20"/>
          <w:lang w:val="en-US"/>
        </w:rPr>
        <w:t>y an asterisk) the inlet shows an approx. 2.3x</w:t>
      </w:r>
      <w:r w:rsidRPr="007F0B20">
        <w:rPr>
          <w:rFonts w:ascii="Arial" w:hAnsi="Arial"/>
          <w:sz w:val="20"/>
          <w:szCs w:val="20"/>
          <w:lang w:val="en-US"/>
        </w:rPr>
        <w:t xml:space="preserve"> zoom of the </w:t>
      </w:r>
      <w:r>
        <w:rPr>
          <w:rFonts w:ascii="Arial" w:hAnsi="Arial"/>
          <w:sz w:val="20"/>
          <w:szCs w:val="20"/>
          <w:lang w:val="en-US"/>
        </w:rPr>
        <w:t>nucleus</w:t>
      </w:r>
      <w:r w:rsidRPr="007F0B20">
        <w:rPr>
          <w:rFonts w:ascii="Arial" w:hAnsi="Arial"/>
          <w:sz w:val="20"/>
          <w:szCs w:val="20"/>
          <w:lang w:val="en-US"/>
        </w:rPr>
        <w:t>.</w:t>
      </w:r>
      <w:r>
        <w:rPr>
          <w:rFonts w:ascii="Arial" w:hAnsi="Arial"/>
          <w:sz w:val="20"/>
          <w:szCs w:val="20"/>
          <w:lang w:val="en-US"/>
        </w:rPr>
        <w:t xml:space="preserve"> Scale bars represent 5 µm.</w:t>
      </w:r>
    </w:p>
    <w:p w14:paraId="20FC9F47" w14:textId="77777777" w:rsidR="000D174D" w:rsidRPr="00633274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633274">
        <w:rPr>
          <w:rFonts w:ascii="Arial" w:hAnsi="Arial"/>
          <w:b/>
          <w:sz w:val="20"/>
          <w:szCs w:val="20"/>
          <w:lang w:val="en-US"/>
        </w:rPr>
        <w:t>Figure S2:</w:t>
      </w:r>
      <w:r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b/>
          <w:sz w:val="20"/>
          <w:szCs w:val="20"/>
          <w:lang w:val="en-US"/>
        </w:rPr>
        <w:t>(</w:t>
      </w:r>
      <w:proofErr w:type="gramStart"/>
      <w:r>
        <w:rPr>
          <w:rFonts w:ascii="Arial" w:hAnsi="Arial"/>
          <w:b/>
          <w:sz w:val="20"/>
          <w:szCs w:val="20"/>
          <w:lang w:val="en-US"/>
        </w:rPr>
        <w:t>A,B</w:t>
      </w:r>
      <w:proofErr w:type="gramEnd"/>
      <w:r w:rsidRPr="007F0B20">
        <w:rPr>
          <w:rFonts w:ascii="Arial" w:hAnsi="Arial"/>
          <w:b/>
          <w:sz w:val="20"/>
          <w:szCs w:val="20"/>
          <w:lang w:val="en-US"/>
        </w:rPr>
        <w:t>)</w:t>
      </w:r>
      <w:r w:rsidRPr="007F0B20">
        <w:rPr>
          <w:rFonts w:ascii="Arial" w:hAnsi="Arial"/>
          <w:sz w:val="20"/>
          <w:szCs w:val="20"/>
          <w:lang w:val="en-US"/>
        </w:rPr>
        <w:t xml:space="preserve"> Western blots of whole cell lysates from stable cell lines, expressing </w:t>
      </w:r>
      <w:proofErr w:type="spellStart"/>
      <w:r w:rsidRPr="00596F44">
        <w:rPr>
          <w:rFonts w:ascii="Arial" w:hAnsi="Arial"/>
          <w:sz w:val="20"/>
          <w:szCs w:val="20"/>
          <w:lang w:val="en-US"/>
        </w:rPr>
        <w:t>dCenpA</w:t>
      </w:r>
      <w:r w:rsidRPr="003657B1">
        <w:rPr>
          <w:rFonts w:ascii="Arial" w:hAnsi="Arial"/>
          <w:sz w:val="20"/>
          <w:szCs w:val="20"/>
          <w:vertAlign w:val="subscript"/>
          <w:lang w:val="en-US"/>
        </w:rPr>
        <w:t>AP</w:t>
      </w:r>
      <w:proofErr w:type="spellEnd"/>
      <w:r w:rsidRPr="003657B1">
        <w:rPr>
          <w:rFonts w:ascii="Arial" w:hAnsi="Arial"/>
          <w:sz w:val="20"/>
          <w:szCs w:val="20"/>
          <w:lang w:val="en-US"/>
        </w:rPr>
        <w:t>,</w:t>
      </w:r>
      <w:r>
        <w:rPr>
          <w:rFonts w:ascii="Arial" w:hAnsi="Arial"/>
          <w:sz w:val="20"/>
          <w:szCs w:val="20"/>
          <w:vertAlign w:val="subscript"/>
          <w:lang w:val="en-US"/>
        </w:rPr>
        <w:t xml:space="preserve"> </w:t>
      </w:r>
      <w:r w:rsidRPr="00596F44">
        <w:rPr>
          <w:rFonts w:ascii="Arial" w:hAnsi="Arial"/>
          <w:sz w:val="20"/>
          <w:szCs w:val="20"/>
          <w:lang w:val="en-US"/>
        </w:rPr>
        <w:t>HMR</w:t>
      </w:r>
      <w:r w:rsidRPr="00596F44">
        <w:rPr>
          <w:rFonts w:ascii="Arial" w:hAnsi="Arial"/>
          <w:sz w:val="20"/>
          <w:szCs w:val="20"/>
          <w:vertAlign w:val="subscript"/>
          <w:lang w:val="en-US"/>
        </w:rPr>
        <w:t>AP</w:t>
      </w:r>
      <w:r w:rsidRPr="007F0B20">
        <w:rPr>
          <w:rFonts w:ascii="Arial" w:hAnsi="Arial"/>
          <w:sz w:val="20"/>
          <w:szCs w:val="20"/>
          <w:lang w:val="en-US"/>
        </w:rPr>
        <w:t>, HP1a</w:t>
      </w:r>
      <w:r w:rsidRPr="007F0B20">
        <w:rPr>
          <w:rFonts w:ascii="Arial" w:hAnsi="Arial"/>
          <w:sz w:val="20"/>
          <w:szCs w:val="20"/>
          <w:vertAlign w:val="subscript"/>
          <w:lang w:val="en-US"/>
        </w:rPr>
        <w:t>AP</w:t>
      </w:r>
      <w:r w:rsidRPr="007F0B20">
        <w:rPr>
          <w:rFonts w:ascii="Arial" w:hAnsi="Arial"/>
          <w:sz w:val="20"/>
          <w:szCs w:val="20"/>
          <w:lang w:val="en-US"/>
        </w:rPr>
        <w:t xml:space="preserve"> or APEX</w:t>
      </w:r>
      <w:r>
        <w:rPr>
          <w:rFonts w:ascii="Arial" w:hAnsi="Arial"/>
          <w:sz w:val="20"/>
          <w:szCs w:val="20"/>
          <w:lang w:val="en-US"/>
        </w:rPr>
        <w:t>2</w:t>
      </w:r>
      <w:r w:rsidRPr="007F0B20">
        <w:rPr>
          <w:rFonts w:ascii="Arial" w:hAnsi="Arial"/>
          <w:sz w:val="20"/>
          <w:szCs w:val="20"/>
          <w:vertAlign w:val="subscript"/>
          <w:lang w:val="en-US"/>
        </w:rPr>
        <w:t>NLS</w:t>
      </w:r>
      <w:r w:rsidRPr="007F0B20">
        <w:rPr>
          <w:rFonts w:ascii="Arial" w:hAnsi="Arial"/>
          <w:sz w:val="20"/>
          <w:szCs w:val="20"/>
          <w:lang w:val="en-US"/>
        </w:rPr>
        <w:t xml:space="preserve">. Antibodies used for </w:t>
      </w:r>
      <w:r>
        <w:rPr>
          <w:rFonts w:ascii="Arial" w:hAnsi="Arial"/>
          <w:sz w:val="20"/>
          <w:szCs w:val="20"/>
          <w:lang w:val="en-US"/>
        </w:rPr>
        <w:t>W</w:t>
      </w:r>
      <w:r w:rsidRPr="007F0B20">
        <w:rPr>
          <w:rFonts w:ascii="Arial" w:hAnsi="Arial"/>
          <w:sz w:val="20"/>
          <w:szCs w:val="20"/>
          <w:lang w:val="en-US"/>
        </w:rPr>
        <w:t xml:space="preserve">estern blots were anti-HMR 2C10, anti-HP1a C1A9, </w:t>
      </w:r>
      <w:r>
        <w:rPr>
          <w:rFonts w:ascii="Arial" w:hAnsi="Arial"/>
          <w:sz w:val="20"/>
          <w:szCs w:val="20"/>
          <w:lang w:val="en-US"/>
        </w:rPr>
        <w:t>rabbit anti-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b/>
          <w:sz w:val="20"/>
          <w:szCs w:val="20"/>
          <w:lang w:val="en-US"/>
        </w:rPr>
        <w:t>(A</w:t>
      </w:r>
      <w:r w:rsidRPr="00AB1BFF">
        <w:rPr>
          <w:rFonts w:ascii="Arial" w:hAnsi="Arial"/>
          <w:b/>
          <w:sz w:val="20"/>
          <w:szCs w:val="20"/>
          <w:lang w:val="en-US"/>
        </w:rPr>
        <w:t>)</w:t>
      </w:r>
      <w:r>
        <w:rPr>
          <w:rFonts w:ascii="Arial" w:hAnsi="Arial"/>
          <w:sz w:val="20"/>
          <w:szCs w:val="20"/>
          <w:lang w:val="en-US"/>
        </w:rPr>
        <w:t xml:space="preserve"> and </w:t>
      </w:r>
      <w:r w:rsidRPr="007F0B20">
        <w:rPr>
          <w:rFonts w:ascii="Arial" w:hAnsi="Arial"/>
          <w:sz w:val="20"/>
          <w:szCs w:val="20"/>
          <w:lang w:val="en-US"/>
        </w:rPr>
        <w:t>anti-APEX2 20H10</w:t>
      </w:r>
      <w:r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b/>
          <w:sz w:val="20"/>
          <w:szCs w:val="20"/>
          <w:lang w:val="en-US"/>
        </w:rPr>
        <w:t>(B</w:t>
      </w:r>
      <w:r w:rsidRPr="00AB1BFF">
        <w:rPr>
          <w:rFonts w:ascii="Arial" w:hAnsi="Arial"/>
          <w:b/>
          <w:sz w:val="20"/>
          <w:szCs w:val="20"/>
          <w:lang w:val="en-US"/>
        </w:rPr>
        <w:t>)</w:t>
      </w:r>
      <w:r>
        <w:rPr>
          <w:rFonts w:ascii="Arial" w:hAnsi="Arial"/>
          <w:sz w:val="20"/>
          <w:szCs w:val="20"/>
          <w:lang w:val="en-US"/>
        </w:rPr>
        <w:t xml:space="preserve"> as well as a</w:t>
      </w:r>
      <w:r w:rsidRPr="007F0B20">
        <w:rPr>
          <w:rFonts w:ascii="Arial" w:hAnsi="Arial"/>
          <w:sz w:val="20"/>
          <w:szCs w:val="20"/>
          <w:lang w:val="en-US"/>
        </w:rPr>
        <w:t xml:space="preserve"> rabbit anti-H3 (for loading control). </w:t>
      </w:r>
      <w:r w:rsidRPr="007F0B20">
        <w:rPr>
          <w:rFonts w:ascii="Arial" w:hAnsi="Arial"/>
          <w:b/>
          <w:sz w:val="20"/>
          <w:szCs w:val="20"/>
          <w:lang w:val="en-US"/>
        </w:rPr>
        <w:t>(</w:t>
      </w:r>
      <w:proofErr w:type="gramStart"/>
      <w:r>
        <w:rPr>
          <w:rFonts w:ascii="Arial" w:hAnsi="Arial"/>
          <w:b/>
          <w:sz w:val="20"/>
          <w:szCs w:val="20"/>
          <w:lang w:val="en-US"/>
        </w:rPr>
        <w:t>C,D</w:t>
      </w:r>
      <w:proofErr w:type="gramEnd"/>
      <w:r w:rsidRPr="007F0B20">
        <w:rPr>
          <w:rFonts w:ascii="Arial" w:hAnsi="Arial"/>
          <w:b/>
          <w:sz w:val="20"/>
          <w:szCs w:val="20"/>
          <w:lang w:val="en-US"/>
        </w:rPr>
        <w:t>)</w:t>
      </w:r>
      <w:r w:rsidRPr="007F0B20">
        <w:rPr>
          <w:rFonts w:ascii="Arial" w:hAnsi="Arial"/>
          <w:sz w:val="20"/>
          <w:szCs w:val="20"/>
          <w:lang w:val="en-US"/>
        </w:rPr>
        <w:t xml:space="preserve"> Localization of APEX fusions in respective stable cell lines. Antibodies used are the same as for </w:t>
      </w:r>
      <w:r>
        <w:rPr>
          <w:rFonts w:ascii="Arial" w:hAnsi="Arial"/>
          <w:sz w:val="20"/>
          <w:szCs w:val="20"/>
          <w:lang w:val="en-US"/>
        </w:rPr>
        <w:t>W</w:t>
      </w:r>
      <w:r w:rsidRPr="007F0B20">
        <w:rPr>
          <w:rFonts w:ascii="Arial" w:hAnsi="Arial"/>
          <w:sz w:val="20"/>
          <w:szCs w:val="20"/>
          <w:lang w:val="en-US"/>
        </w:rPr>
        <w:t>estern blotting in (</w:t>
      </w:r>
      <w:r>
        <w:rPr>
          <w:rFonts w:ascii="Arial" w:hAnsi="Arial"/>
          <w:b/>
          <w:sz w:val="20"/>
          <w:szCs w:val="20"/>
          <w:lang w:val="en-US"/>
        </w:rPr>
        <w:t>A, B</w:t>
      </w:r>
      <w:r w:rsidRPr="007F0B20">
        <w:rPr>
          <w:rFonts w:ascii="Arial" w:hAnsi="Arial"/>
          <w:sz w:val="20"/>
          <w:szCs w:val="20"/>
          <w:lang w:val="en-US"/>
        </w:rPr>
        <w:t>). For cells with centromere staining (indicated b</w:t>
      </w:r>
      <w:r>
        <w:rPr>
          <w:rFonts w:ascii="Arial" w:hAnsi="Arial"/>
          <w:sz w:val="20"/>
          <w:szCs w:val="20"/>
          <w:lang w:val="en-US"/>
        </w:rPr>
        <w:t xml:space="preserve">y an asterisk) the inlet shows an approx. </w:t>
      </w:r>
      <w:proofErr w:type="gramStart"/>
      <w:r>
        <w:rPr>
          <w:rFonts w:ascii="Arial" w:hAnsi="Arial"/>
          <w:sz w:val="20"/>
          <w:szCs w:val="20"/>
          <w:lang w:val="en-US"/>
        </w:rPr>
        <w:t>2.3 fold</w:t>
      </w:r>
      <w:proofErr w:type="gramEnd"/>
      <w:r w:rsidRPr="007F0B20">
        <w:rPr>
          <w:rFonts w:ascii="Arial" w:hAnsi="Arial"/>
          <w:sz w:val="20"/>
          <w:szCs w:val="20"/>
          <w:lang w:val="en-US"/>
        </w:rPr>
        <w:t xml:space="preserve"> zoom of the </w:t>
      </w:r>
      <w:r>
        <w:rPr>
          <w:rFonts w:ascii="Arial" w:hAnsi="Arial"/>
          <w:sz w:val="20"/>
          <w:szCs w:val="20"/>
          <w:lang w:val="en-US"/>
        </w:rPr>
        <w:t>nucleus</w:t>
      </w:r>
      <w:r w:rsidRPr="007F0B20">
        <w:rPr>
          <w:rFonts w:ascii="Arial" w:hAnsi="Arial"/>
          <w:sz w:val="20"/>
          <w:szCs w:val="20"/>
          <w:lang w:val="en-US"/>
        </w:rPr>
        <w:t xml:space="preserve">. Shown are the </w:t>
      </w:r>
      <w:proofErr w:type="spellStart"/>
      <w:r w:rsidRPr="007F0B20">
        <w:rPr>
          <w:rFonts w:ascii="Arial" w:hAnsi="Arial"/>
          <w:sz w:val="20"/>
          <w:szCs w:val="20"/>
          <w:lang w:val="en-US"/>
        </w:rPr>
        <w:t>stainings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of cells with (induced) or without (uninduced) copper mediated induction of the expression of the corresponding fusion protein.</w:t>
      </w:r>
    </w:p>
    <w:p w14:paraId="167725CF" w14:textId="77777777" w:rsidR="000D174D" w:rsidRPr="001F6C86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1F6C86">
        <w:rPr>
          <w:rFonts w:ascii="Arial" w:hAnsi="Arial"/>
          <w:b/>
          <w:sz w:val="20"/>
          <w:szCs w:val="20"/>
          <w:lang w:val="en-US"/>
        </w:rPr>
        <w:t>Figure S</w:t>
      </w:r>
      <w:r>
        <w:rPr>
          <w:rFonts w:ascii="Arial" w:hAnsi="Arial"/>
          <w:b/>
          <w:sz w:val="20"/>
          <w:szCs w:val="20"/>
          <w:lang w:val="en-US"/>
        </w:rPr>
        <w:t xml:space="preserve">3: (A) </w:t>
      </w:r>
      <w:proofErr w:type="spellStart"/>
      <w:r>
        <w:rPr>
          <w:rFonts w:ascii="Arial" w:hAnsi="Arial"/>
          <w:sz w:val="20"/>
          <w:szCs w:val="20"/>
          <w:lang w:val="en-US"/>
        </w:rPr>
        <w:t>B</w:t>
      </w:r>
      <w:r w:rsidRPr="007F0B20">
        <w:rPr>
          <w:rFonts w:ascii="Arial" w:hAnsi="Arial"/>
          <w:sz w:val="20"/>
          <w:szCs w:val="20"/>
          <w:lang w:val="en-US"/>
        </w:rPr>
        <w:t>iotinylation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experiment performed </w:t>
      </w:r>
      <w:r>
        <w:rPr>
          <w:rFonts w:ascii="Arial" w:hAnsi="Arial"/>
          <w:sz w:val="20"/>
          <w:szCs w:val="20"/>
          <w:lang w:val="en-US"/>
        </w:rPr>
        <w:t>for 25 minutes</w:t>
      </w:r>
      <w:r w:rsidRPr="007F0B20">
        <w:rPr>
          <w:rFonts w:ascii="Arial" w:hAnsi="Arial"/>
          <w:sz w:val="20"/>
          <w:szCs w:val="20"/>
          <w:lang w:val="en-US"/>
        </w:rPr>
        <w:t xml:space="preserve"> using the 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r w:rsidRPr="002C39D5">
        <w:rPr>
          <w:rFonts w:ascii="Arial" w:hAnsi="Arial"/>
          <w:sz w:val="20"/>
          <w:szCs w:val="20"/>
          <w:vertAlign w:val="subscript"/>
          <w:lang w:val="en-US"/>
        </w:rPr>
        <w:t>AP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and </w:t>
      </w:r>
      <w:r w:rsidRPr="007F0B20">
        <w:rPr>
          <w:rFonts w:ascii="Arial" w:hAnsi="Arial"/>
          <w:sz w:val="20"/>
          <w:szCs w:val="20"/>
          <w:lang w:val="en-US"/>
        </w:rPr>
        <w:t>HMR</w:t>
      </w:r>
      <w:r w:rsidRPr="007F0B20">
        <w:rPr>
          <w:rFonts w:ascii="Arial" w:hAnsi="Arial"/>
          <w:sz w:val="20"/>
          <w:szCs w:val="20"/>
          <w:vertAlign w:val="subscript"/>
          <w:lang w:val="en-US"/>
        </w:rPr>
        <w:t>AP</w:t>
      </w:r>
      <w:r w:rsidRPr="007F0B20">
        <w:rPr>
          <w:rFonts w:ascii="Arial" w:hAnsi="Arial"/>
          <w:sz w:val="20"/>
          <w:szCs w:val="20"/>
          <w:lang w:val="en-US"/>
        </w:rPr>
        <w:t xml:space="preserve"> cell line</w:t>
      </w:r>
      <w:r>
        <w:rPr>
          <w:rFonts w:ascii="Arial" w:hAnsi="Arial"/>
          <w:sz w:val="20"/>
          <w:szCs w:val="20"/>
          <w:lang w:val="en-US"/>
        </w:rPr>
        <w:t xml:space="preserve">s. Controls are shown in the right panel. </w:t>
      </w:r>
      <w:proofErr w:type="spellStart"/>
      <w:r w:rsidRPr="007F0B20">
        <w:rPr>
          <w:rFonts w:ascii="Arial" w:hAnsi="Arial"/>
          <w:sz w:val="20"/>
          <w:szCs w:val="20"/>
          <w:lang w:val="en-US"/>
        </w:rPr>
        <w:t>Stainings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were performed with anti-APEX 20H10 antibody and anti-Streptavidin Alexa555.</w:t>
      </w:r>
      <w:r>
        <w:rPr>
          <w:rFonts w:ascii="Arial" w:hAnsi="Arial"/>
          <w:sz w:val="20"/>
          <w:szCs w:val="20"/>
          <w:lang w:val="en-US"/>
        </w:rPr>
        <w:t xml:space="preserve"> </w:t>
      </w:r>
      <w:r w:rsidRPr="007F0B20">
        <w:rPr>
          <w:rFonts w:ascii="Arial" w:hAnsi="Arial"/>
          <w:sz w:val="20"/>
          <w:szCs w:val="20"/>
          <w:lang w:val="en-US"/>
        </w:rPr>
        <w:t xml:space="preserve">For </w:t>
      </w:r>
      <w:r>
        <w:rPr>
          <w:rFonts w:ascii="Arial" w:hAnsi="Arial"/>
          <w:sz w:val="20"/>
          <w:szCs w:val="20"/>
          <w:lang w:val="en-US"/>
        </w:rPr>
        <w:t xml:space="preserve">selected </w:t>
      </w:r>
      <w:r w:rsidRPr="007F0B20">
        <w:rPr>
          <w:rFonts w:ascii="Arial" w:hAnsi="Arial"/>
          <w:sz w:val="20"/>
          <w:szCs w:val="20"/>
          <w:lang w:val="en-US"/>
        </w:rPr>
        <w:t>cells (indicated b</w:t>
      </w:r>
      <w:r>
        <w:rPr>
          <w:rFonts w:ascii="Arial" w:hAnsi="Arial"/>
          <w:sz w:val="20"/>
          <w:szCs w:val="20"/>
          <w:lang w:val="en-US"/>
        </w:rPr>
        <w:t>y an asterisk) the inlet shows an approx. 2.3x</w:t>
      </w:r>
      <w:r w:rsidRPr="007F0B20">
        <w:rPr>
          <w:rFonts w:ascii="Arial" w:hAnsi="Arial"/>
          <w:sz w:val="20"/>
          <w:szCs w:val="20"/>
          <w:lang w:val="en-US"/>
        </w:rPr>
        <w:t xml:space="preserve"> zoom of the </w:t>
      </w:r>
      <w:r>
        <w:rPr>
          <w:rFonts w:ascii="Arial" w:hAnsi="Arial"/>
          <w:sz w:val="20"/>
          <w:szCs w:val="20"/>
          <w:lang w:val="en-US"/>
        </w:rPr>
        <w:t>nucleus</w:t>
      </w:r>
      <w:r w:rsidRPr="007F0B20">
        <w:rPr>
          <w:rFonts w:ascii="Arial" w:hAnsi="Arial"/>
          <w:sz w:val="20"/>
          <w:szCs w:val="20"/>
          <w:lang w:val="en-US"/>
        </w:rPr>
        <w:t>.</w:t>
      </w:r>
      <w:r>
        <w:rPr>
          <w:rFonts w:ascii="Arial" w:hAnsi="Arial"/>
          <w:sz w:val="20"/>
          <w:szCs w:val="20"/>
          <w:lang w:val="en-US"/>
        </w:rPr>
        <w:t xml:space="preserve"> Scale bars represent 5 µm. Exposure for APEX and biotin is indicated in white. </w:t>
      </w:r>
      <w:r w:rsidRPr="007B78DE">
        <w:rPr>
          <w:rFonts w:ascii="Arial" w:hAnsi="Arial"/>
          <w:b/>
          <w:sz w:val="20"/>
          <w:szCs w:val="20"/>
          <w:lang w:val="en-US"/>
        </w:rPr>
        <w:t>(B)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/>
          <w:sz w:val="20"/>
          <w:szCs w:val="20"/>
          <w:lang w:val="en-US"/>
        </w:rPr>
        <w:t>B</w:t>
      </w:r>
      <w:r w:rsidRPr="007F0B20">
        <w:rPr>
          <w:rFonts w:ascii="Arial" w:hAnsi="Arial"/>
          <w:sz w:val="20"/>
          <w:szCs w:val="20"/>
          <w:lang w:val="en-US"/>
        </w:rPr>
        <w:t>iotinylation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experiment performed </w:t>
      </w:r>
      <w:r>
        <w:rPr>
          <w:rFonts w:ascii="Arial" w:hAnsi="Arial"/>
          <w:sz w:val="20"/>
          <w:szCs w:val="20"/>
          <w:lang w:val="en-US"/>
        </w:rPr>
        <w:t>for 25 minutes</w:t>
      </w:r>
      <w:r w:rsidRPr="007F0B20">
        <w:rPr>
          <w:rFonts w:ascii="Arial" w:hAnsi="Arial"/>
          <w:sz w:val="20"/>
          <w:szCs w:val="20"/>
          <w:lang w:val="en-US"/>
        </w:rPr>
        <w:t xml:space="preserve"> using the </w:t>
      </w:r>
      <w:r>
        <w:rPr>
          <w:rFonts w:ascii="Arial" w:hAnsi="Arial"/>
          <w:sz w:val="20"/>
          <w:szCs w:val="20"/>
          <w:lang w:val="en-US"/>
        </w:rPr>
        <w:t>HP1a</w:t>
      </w:r>
      <w:r w:rsidRPr="001F6C86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 xml:space="preserve"> and APEX</w:t>
      </w:r>
      <w:r w:rsidRPr="001F6C86">
        <w:rPr>
          <w:rFonts w:ascii="Arial" w:hAnsi="Arial"/>
          <w:sz w:val="20"/>
          <w:szCs w:val="20"/>
          <w:vertAlign w:val="subscript"/>
          <w:lang w:val="en-US"/>
        </w:rPr>
        <w:t>NLS</w:t>
      </w:r>
      <w:r w:rsidRPr="007F0B20">
        <w:rPr>
          <w:rFonts w:ascii="Arial" w:hAnsi="Arial"/>
          <w:sz w:val="20"/>
          <w:szCs w:val="20"/>
          <w:lang w:val="en-US"/>
        </w:rPr>
        <w:t xml:space="preserve"> cell line</w:t>
      </w:r>
      <w:r>
        <w:rPr>
          <w:rFonts w:ascii="Arial" w:hAnsi="Arial"/>
          <w:sz w:val="20"/>
          <w:szCs w:val="20"/>
          <w:lang w:val="en-US"/>
        </w:rPr>
        <w:t xml:space="preserve">s. </w:t>
      </w:r>
      <w:proofErr w:type="spellStart"/>
      <w:r w:rsidRPr="007F0B20">
        <w:rPr>
          <w:rFonts w:ascii="Arial" w:hAnsi="Arial"/>
          <w:sz w:val="20"/>
          <w:szCs w:val="20"/>
          <w:lang w:val="en-US"/>
        </w:rPr>
        <w:t>Stainings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were performed with anti-APEX 20H10 antibody and anti-Streptavidin Alexa555.</w:t>
      </w:r>
      <w:r>
        <w:rPr>
          <w:rFonts w:ascii="Arial" w:hAnsi="Arial"/>
          <w:sz w:val="20"/>
          <w:szCs w:val="20"/>
          <w:lang w:val="en-US"/>
        </w:rPr>
        <w:t xml:space="preserve"> Scale bars represent 5 µm. Exposure for APEX and biotin is indicated in white.</w:t>
      </w:r>
    </w:p>
    <w:p w14:paraId="73F246D2" w14:textId="77777777" w:rsidR="000D174D" w:rsidRPr="001F6C86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 xml:space="preserve">Figure S4: </w:t>
      </w:r>
      <w:r>
        <w:rPr>
          <w:rFonts w:ascii="Arial" w:hAnsi="Arial"/>
          <w:sz w:val="20"/>
          <w:szCs w:val="20"/>
          <w:lang w:val="en-US"/>
        </w:rPr>
        <w:t xml:space="preserve">Time-course </w:t>
      </w:r>
      <w:proofErr w:type="spellStart"/>
      <w:r>
        <w:rPr>
          <w:rFonts w:ascii="Arial" w:hAnsi="Arial"/>
          <w:sz w:val="20"/>
          <w:szCs w:val="20"/>
          <w:lang w:val="en-US"/>
        </w:rPr>
        <w:t>biotinylation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experiment performed for the HP1a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cell line. </w:t>
      </w:r>
      <w:proofErr w:type="spellStart"/>
      <w:r w:rsidRPr="007F0B20">
        <w:rPr>
          <w:rFonts w:ascii="Arial" w:hAnsi="Arial"/>
          <w:sz w:val="20"/>
          <w:szCs w:val="20"/>
          <w:lang w:val="en-US"/>
        </w:rPr>
        <w:t>Stainings</w:t>
      </w:r>
      <w:proofErr w:type="spellEnd"/>
      <w:r w:rsidRPr="007F0B20">
        <w:rPr>
          <w:rFonts w:ascii="Arial" w:hAnsi="Arial"/>
          <w:sz w:val="20"/>
          <w:szCs w:val="20"/>
          <w:lang w:val="en-US"/>
        </w:rPr>
        <w:t xml:space="preserve"> were performed with anti-APEX 20H10 antibody and anti-Streptavidin Alexa555.</w:t>
      </w:r>
      <w:r>
        <w:rPr>
          <w:rFonts w:ascii="Arial" w:hAnsi="Arial"/>
          <w:sz w:val="20"/>
          <w:szCs w:val="20"/>
          <w:lang w:val="en-US"/>
        </w:rPr>
        <w:t xml:space="preserve"> Scale bars represent 5 µm.</w:t>
      </w:r>
    </w:p>
    <w:p w14:paraId="3093D137" w14:textId="77777777" w:rsidR="000D174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3B45D2">
        <w:rPr>
          <w:rFonts w:ascii="Arial" w:hAnsi="Arial"/>
          <w:b/>
          <w:sz w:val="20"/>
          <w:szCs w:val="20"/>
          <w:lang w:val="en-US"/>
        </w:rPr>
        <w:t>Figure S</w:t>
      </w:r>
      <w:r>
        <w:rPr>
          <w:rFonts w:ascii="Arial" w:hAnsi="Arial"/>
          <w:b/>
          <w:sz w:val="20"/>
          <w:szCs w:val="20"/>
          <w:lang w:val="en-US"/>
        </w:rPr>
        <w:t>5</w:t>
      </w:r>
      <w:r w:rsidRPr="003B45D2">
        <w:rPr>
          <w:rFonts w:ascii="Arial" w:hAnsi="Arial"/>
          <w:b/>
          <w:sz w:val="20"/>
          <w:szCs w:val="20"/>
          <w:lang w:val="en-US"/>
        </w:rPr>
        <w:t xml:space="preserve"> </w:t>
      </w:r>
      <w:r w:rsidRPr="003B45D2">
        <w:rPr>
          <w:rFonts w:ascii="Arial" w:hAnsi="Arial"/>
          <w:sz w:val="20"/>
          <w:szCs w:val="20"/>
          <w:lang w:val="en-US"/>
        </w:rPr>
        <w:t>Volcano plots of streptavidin pulldowns from extracts of cells expressing HP1a</w:t>
      </w:r>
      <w:r w:rsidRPr="003B45D2">
        <w:rPr>
          <w:rFonts w:ascii="Arial" w:hAnsi="Arial"/>
          <w:sz w:val="20"/>
          <w:szCs w:val="20"/>
          <w:vertAlign w:val="subscript"/>
          <w:lang w:val="en-US"/>
        </w:rPr>
        <w:t>AP</w:t>
      </w:r>
      <w:r w:rsidRPr="003B45D2">
        <w:rPr>
          <w:rFonts w:ascii="Arial" w:hAnsi="Arial"/>
          <w:sz w:val="20"/>
          <w:szCs w:val="20"/>
          <w:lang w:val="en-US"/>
        </w:rPr>
        <w:t xml:space="preserve"> mock treated or treated with biotin phenol and peroxide, </w:t>
      </w:r>
      <w:r>
        <w:rPr>
          <w:rFonts w:ascii="Arial" w:hAnsi="Arial"/>
          <w:sz w:val="20"/>
          <w:szCs w:val="20"/>
          <w:lang w:val="en-US"/>
        </w:rPr>
        <w:t>vs</w:t>
      </w:r>
      <w:r w:rsidRPr="003B45D2">
        <w:rPr>
          <w:rFonts w:ascii="Arial" w:hAnsi="Arial"/>
          <w:sz w:val="20"/>
          <w:szCs w:val="20"/>
          <w:lang w:val="en-US"/>
        </w:rPr>
        <w:t xml:space="preserve"> APEX</w:t>
      </w:r>
      <w:r w:rsidRPr="003B45D2">
        <w:rPr>
          <w:rFonts w:ascii="Arial" w:hAnsi="Arial"/>
          <w:sz w:val="20"/>
          <w:szCs w:val="20"/>
          <w:vertAlign w:val="subscript"/>
          <w:lang w:val="en-US"/>
        </w:rPr>
        <w:t>NLS</w:t>
      </w:r>
      <w:r w:rsidRPr="003B45D2">
        <w:rPr>
          <w:rFonts w:ascii="Arial" w:hAnsi="Arial"/>
          <w:sz w:val="20"/>
          <w:szCs w:val="20"/>
          <w:lang w:val="en-US"/>
        </w:rPr>
        <w:t xml:space="preserve"> treated analogously (for 1.5, 5 and 25 minutes). Previously reported HP1a interactors, enriched in the pulldowns, are highlighted in green.</w:t>
      </w:r>
      <w:r w:rsidRPr="00663E38">
        <w:rPr>
          <w:rFonts w:ascii="Arial" w:hAnsi="Arial"/>
          <w:sz w:val="20"/>
          <w:szCs w:val="20"/>
          <w:lang w:val="en-US"/>
        </w:rPr>
        <w:t xml:space="preserve"> </w:t>
      </w:r>
    </w:p>
    <w:p w14:paraId="31CDE640" w14:textId="77777777" w:rsidR="000D174D" w:rsidRPr="007B78DE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7B78DE">
        <w:rPr>
          <w:rFonts w:ascii="Arial" w:hAnsi="Arial"/>
          <w:b/>
          <w:sz w:val="20"/>
          <w:szCs w:val="20"/>
          <w:lang w:val="en-US"/>
        </w:rPr>
        <w:t>Figure S</w:t>
      </w:r>
      <w:r>
        <w:rPr>
          <w:rFonts w:ascii="Arial" w:hAnsi="Arial"/>
          <w:b/>
          <w:sz w:val="20"/>
          <w:szCs w:val="20"/>
          <w:lang w:val="en-US"/>
        </w:rPr>
        <w:t xml:space="preserve">6: </w:t>
      </w:r>
      <w:r w:rsidRPr="00316EED">
        <w:rPr>
          <w:rFonts w:ascii="Arial" w:hAnsi="Arial"/>
          <w:b/>
          <w:sz w:val="20"/>
          <w:szCs w:val="20"/>
          <w:lang w:val="en-US"/>
        </w:rPr>
        <w:t>(A)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Venn diagrams of protein IP-proximity overlaps for the same bait. </w:t>
      </w:r>
      <w:r w:rsidRPr="007B78DE">
        <w:rPr>
          <w:rFonts w:ascii="Arial" w:hAnsi="Arial"/>
          <w:b/>
          <w:sz w:val="20"/>
          <w:szCs w:val="20"/>
          <w:lang w:val="en-US"/>
        </w:rPr>
        <w:t>(B)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Venn diagrams of protein IP-proximity overlaps for the same bait, including only proteins which have been shown to localize to </w:t>
      </w:r>
      <w:r w:rsidRPr="007B78DE">
        <w:rPr>
          <w:rFonts w:ascii="Arial" w:hAnsi="Arial"/>
          <w:i/>
          <w:sz w:val="20"/>
          <w:szCs w:val="20"/>
          <w:lang w:val="en-US"/>
        </w:rPr>
        <w:t>Drosophila</w:t>
      </w:r>
      <w:r>
        <w:rPr>
          <w:rFonts w:ascii="Arial" w:hAnsi="Arial"/>
          <w:sz w:val="20"/>
          <w:szCs w:val="20"/>
          <w:lang w:val="en-US"/>
        </w:rPr>
        <w:t xml:space="preserve"> centromeres by IF (Supplementary Table S5). </w:t>
      </w:r>
    </w:p>
    <w:p w14:paraId="4306F2BA" w14:textId="77777777" w:rsidR="000D174D" w:rsidRPr="007B78DE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 xml:space="preserve">Figure S7: </w:t>
      </w:r>
      <w:r w:rsidRPr="007B78DE">
        <w:rPr>
          <w:rFonts w:ascii="Arial" w:hAnsi="Arial"/>
          <w:sz w:val="20"/>
          <w:szCs w:val="20"/>
          <w:lang w:val="en-US"/>
        </w:rPr>
        <w:t xml:space="preserve">Supplementary information for </w:t>
      </w:r>
      <w:proofErr w:type="spellStart"/>
      <w:r w:rsidRPr="007B78DE">
        <w:rPr>
          <w:rFonts w:ascii="Arial" w:hAnsi="Arial"/>
          <w:sz w:val="20"/>
          <w:szCs w:val="20"/>
          <w:lang w:val="en-US"/>
        </w:rPr>
        <w:t>ChIP</w:t>
      </w:r>
      <w:proofErr w:type="spellEnd"/>
      <w:r w:rsidRPr="007B78DE">
        <w:rPr>
          <w:rFonts w:ascii="Arial" w:hAnsi="Arial"/>
          <w:sz w:val="20"/>
          <w:szCs w:val="20"/>
          <w:lang w:val="en-US"/>
        </w:rPr>
        <w:t>-sequencing experiments.</w:t>
      </w:r>
      <w:r>
        <w:rPr>
          <w:rFonts w:ascii="Arial" w:hAnsi="Arial"/>
          <w:sz w:val="20"/>
          <w:szCs w:val="20"/>
          <w:lang w:val="en-US"/>
        </w:rPr>
        <w:t xml:space="preserve"> </w:t>
      </w:r>
      <w:r w:rsidRPr="007B78DE">
        <w:rPr>
          <w:rFonts w:ascii="Arial" w:hAnsi="Arial"/>
          <w:b/>
          <w:sz w:val="20"/>
          <w:szCs w:val="20"/>
          <w:lang w:val="en-US"/>
        </w:rPr>
        <w:t>(A)</w:t>
      </w:r>
      <w:r w:rsidRPr="00EA5685">
        <w:rPr>
          <w:rFonts w:ascii="Arial" w:hAnsi="Arial"/>
          <w:b/>
          <w:sz w:val="20"/>
          <w:szCs w:val="20"/>
          <w:lang w:val="en-US"/>
        </w:rPr>
        <w:t>, (</w:t>
      </w:r>
      <w:r>
        <w:rPr>
          <w:rFonts w:ascii="Arial" w:hAnsi="Arial"/>
          <w:b/>
          <w:sz w:val="20"/>
          <w:szCs w:val="20"/>
          <w:lang w:val="en-US"/>
        </w:rPr>
        <w:t>C</w:t>
      </w:r>
      <w:r w:rsidRPr="008D12A7">
        <w:rPr>
          <w:rFonts w:ascii="Arial" w:hAnsi="Arial"/>
          <w:b/>
          <w:sz w:val="20"/>
          <w:szCs w:val="20"/>
          <w:lang w:val="en-US"/>
        </w:rPr>
        <w:t>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Mean </w:t>
      </w:r>
      <w:proofErr w:type="spellStart"/>
      <w:r>
        <w:rPr>
          <w:rFonts w:ascii="Arial" w:hAnsi="Arial"/>
          <w:sz w:val="20"/>
          <w:szCs w:val="20"/>
          <w:lang w:val="en-US"/>
        </w:rPr>
        <w:t>ChIP</w:t>
      </w:r>
      <w:proofErr w:type="spellEnd"/>
      <w:r>
        <w:rPr>
          <w:rFonts w:ascii="Arial" w:hAnsi="Arial"/>
          <w:sz w:val="20"/>
          <w:szCs w:val="20"/>
          <w:lang w:val="en-US"/>
        </w:rPr>
        <w:t>-seq enrichment at peak centers for (</w:t>
      </w:r>
      <w:r w:rsidRPr="00EF36B7">
        <w:rPr>
          <w:rFonts w:ascii="Arial" w:hAnsi="Arial"/>
          <w:b/>
          <w:bCs/>
          <w:sz w:val="20"/>
          <w:szCs w:val="20"/>
          <w:lang w:val="en-US"/>
        </w:rPr>
        <w:t>A</w:t>
      </w:r>
      <w:r>
        <w:rPr>
          <w:rFonts w:ascii="Arial" w:hAnsi="Arial"/>
          <w:sz w:val="20"/>
          <w:szCs w:val="20"/>
          <w:lang w:val="en-US"/>
        </w:rPr>
        <w:t>)</w:t>
      </w:r>
      <w:r w:rsidRPr="00745920"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>CAPH</w:t>
      </w:r>
      <w:proofErr w:type="gramStart"/>
      <w:r>
        <w:rPr>
          <w:rFonts w:ascii="Arial" w:hAnsi="Arial"/>
          <w:sz w:val="20"/>
          <w:szCs w:val="20"/>
          <w:lang w:val="en-US"/>
        </w:rPr>
        <w:t>2  and</w:t>
      </w:r>
      <w:proofErr w:type="gramEnd"/>
      <w:r>
        <w:rPr>
          <w:rFonts w:ascii="Arial" w:hAnsi="Arial"/>
          <w:sz w:val="20"/>
          <w:szCs w:val="20"/>
          <w:lang w:val="en-US"/>
        </w:rPr>
        <w:t xml:space="preserve"> (</w:t>
      </w:r>
      <w:r w:rsidRPr="00EF36B7">
        <w:rPr>
          <w:rFonts w:ascii="Arial" w:hAnsi="Arial"/>
          <w:b/>
          <w:bCs/>
          <w:sz w:val="20"/>
          <w:szCs w:val="20"/>
          <w:lang w:val="en-US"/>
        </w:rPr>
        <w:t>C</w:t>
      </w:r>
      <w:r>
        <w:rPr>
          <w:rFonts w:ascii="Arial" w:hAnsi="Arial"/>
          <w:sz w:val="20"/>
          <w:szCs w:val="20"/>
          <w:lang w:val="en-US"/>
        </w:rPr>
        <w:t>) HMR</w:t>
      </w:r>
      <w:r w:rsidDel="00745920"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in 2 independent replicates and different conditions. Paired t-test is used for statistical analysis. </w:t>
      </w:r>
      <w:r w:rsidRPr="007B78DE">
        <w:rPr>
          <w:rFonts w:ascii="Arial" w:hAnsi="Arial"/>
          <w:b/>
          <w:sz w:val="20"/>
          <w:szCs w:val="20"/>
          <w:lang w:val="en-US"/>
        </w:rPr>
        <w:t>(</w:t>
      </w:r>
      <w:r>
        <w:rPr>
          <w:rFonts w:ascii="Arial" w:hAnsi="Arial"/>
          <w:b/>
          <w:sz w:val="20"/>
          <w:szCs w:val="20"/>
          <w:lang w:val="en-US"/>
        </w:rPr>
        <w:t>B</w:t>
      </w:r>
      <w:r w:rsidRPr="007B78DE">
        <w:rPr>
          <w:rFonts w:ascii="Arial" w:hAnsi="Arial"/>
          <w:b/>
          <w:sz w:val="20"/>
          <w:szCs w:val="20"/>
          <w:lang w:val="en-US"/>
        </w:rPr>
        <w:t>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Scatter plot of pooled CAPH2 peaks’ </w:t>
      </w:r>
      <w:proofErr w:type="spellStart"/>
      <w:r>
        <w:rPr>
          <w:rFonts w:ascii="Arial" w:hAnsi="Arial"/>
          <w:sz w:val="20"/>
          <w:szCs w:val="20"/>
          <w:lang w:val="en-US"/>
        </w:rPr>
        <w:t>ChIP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enrichments in 2 replicates.</w:t>
      </w:r>
    </w:p>
    <w:p w14:paraId="7C9A9C5D" w14:textId="77777777" w:rsidR="000D174D" w:rsidRPr="00270D42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 xml:space="preserve">Figure S8: </w:t>
      </w:r>
      <w:proofErr w:type="spellStart"/>
      <w:r w:rsidRPr="007B78DE">
        <w:rPr>
          <w:rFonts w:ascii="Arial" w:hAnsi="Arial"/>
          <w:sz w:val="20"/>
          <w:szCs w:val="20"/>
          <w:lang w:val="en-US"/>
        </w:rPr>
        <w:t>Cohesins’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and </w:t>
      </w:r>
      <w:proofErr w:type="spellStart"/>
      <w:r>
        <w:rPr>
          <w:rFonts w:ascii="Arial" w:hAnsi="Arial"/>
          <w:sz w:val="20"/>
          <w:szCs w:val="20"/>
          <w:lang w:val="en-US"/>
        </w:rPr>
        <w:t>condensins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’ knockdown does not influence centromeric localization of HMR. </w:t>
      </w:r>
      <w:r w:rsidRPr="007B78DE">
        <w:rPr>
          <w:rFonts w:ascii="Arial" w:hAnsi="Arial"/>
          <w:b/>
          <w:sz w:val="20"/>
          <w:szCs w:val="20"/>
          <w:lang w:val="en-US"/>
        </w:rPr>
        <w:t>(A)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 w:rsidRPr="003657B1">
        <w:rPr>
          <w:rFonts w:ascii="Arial" w:hAnsi="Arial"/>
          <w:sz w:val="20"/>
          <w:szCs w:val="20"/>
          <w:lang w:val="en-US"/>
        </w:rPr>
        <w:t xml:space="preserve">Immunofluorescent </w:t>
      </w:r>
      <w:proofErr w:type="spellStart"/>
      <w:r w:rsidRPr="003657B1">
        <w:rPr>
          <w:rFonts w:ascii="Arial" w:hAnsi="Arial"/>
          <w:sz w:val="20"/>
          <w:szCs w:val="20"/>
          <w:lang w:val="en-US"/>
        </w:rPr>
        <w:t>stainings</w:t>
      </w:r>
      <w:proofErr w:type="spellEnd"/>
      <w:r w:rsidRPr="003657B1">
        <w:rPr>
          <w:rFonts w:ascii="Arial" w:hAnsi="Arial"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(maximum intensity projections shown) </w:t>
      </w:r>
      <w:r w:rsidRPr="003657B1">
        <w:rPr>
          <w:rFonts w:ascii="Arial" w:hAnsi="Arial"/>
          <w:sz w:val="20"/>
          <w:szCs w:val="20"/>
          <w:lang w:val="en-US"/>
        </w:rPr>
        <w:t xml:space="preserve">against </w:t>
      </w:r>
      <w:r>
        <w:rPr>
          <w:rFonts w:ascii="Arial" w:hAnsi="Arial"/>
          <w:sz w:val="20"/>
          <w:szCs w:val="20"/>
          <w:lang w:val="en-US"/>
        </w:rPr>
        <w:t xml:space="preserve">HP1a, HMR and 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upon GST, Rad21, CAPH2, SMC1 and SMC2 </w:t>
      </w:r>
      <w:r w:rsidRPr="003657B1">
        <w:rPr>
          <w:rFonts w:ascii="Arial" w:hAnsi="Arial"/>
          <w:sz w:val="20"/>
          <w:szCs w:val="20"/>
          <w:lang w:val="en-US"/>
        </w:rPr>
        <w:t>knockdown</w:t>
      </w:r>
      <w:r>
        <w:rPr>
          <w:rFonts w:ascii="Arial" w:hAnsi="Arial"/>
          <w:sz w:val="20"/>
          <w:szCs w:val="20"/>
          <w:lang w:val="en-US"/>
        </w:rPr>
        <w:t>s</w:t>
      </w:r>
      <w:r w:rsidRPr="003657B1">
        <w:rPr>
          <w:rFonts w:ascii="Arial" w:hAnsi="Arial"/>
          <w:sz w:val="20"/>
          <w:szCs w:val="20"/>
          <w:lang w:val="en-US"/>
        </w:rPr>
        <w:t>.</w:t>
      </w:r>
      <w:r>
        <w:rPr>
          <w:rFonts w:ascii="Arial" w:hAnsi="Arial"/>
          <w:sz w:val="20"/>
          <w:szCs w:val="20"/>
          <w:lang w:val="en-US"/>
        </w:rPr>
        <w:t xml:space="preserve"> Scale bars represent 5 µm. </w:t>
      </w:r>
      <w:r w:rsidRPr="003657B1">
        <w:rPr>
          <w:rFonts w:ascii="Arial" w:hAnsi="Arial"/>
          <w:sz w:val="20"/>
          <w:szCs w:val="20"/>
          <w:lang w:val="en-US"/>
        </w:rPr>
        <w:t xml:space="preserve">Antibodies used for staining were anti-HMR 2C10, anti-HP1a C1A9 </w:t>
      </w:r>
      <w:r>
        <w:rPr>
          <w:rFonts w:ascii="Arial" w:hAnsi="Arial"/>
          <w:sz w:val="20"/>
          <w:szCs w:val="20"/>
          <w:lang w:val="en-US"/>
        </w:rPr>
        <w:t>and rabbit anti-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. </w:t>
      </w:r>
      <w:r w:rsidRPr="007B78DE">
        <w:rPr>
          <w:rFonts w:ascii="Arial" w:hAnsi="Arial"/>
          <w:b/>
          <w:sz w:val="20"/>
          <w:szCs w:val="20"/>
          <w:lang w:val="en-US"/>
        </w:rPr>
        <w:t>(B)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 w:rsidRPr="00163D09">
        <w:rPr>
          <w:rFonts w:ascii="Arial" w:hAnsi="Arial"/>
          <w:sz w:val="20"/>
          <w:szCs w:val="20"/>
          <w:lang w:val="en-US"/>
        </w:rPr>
        <w:t>Quantification</w:t>
      </w:r>
      <w:r>
        <w:rPr>
          <w:rFonts w:ascii="Arial" w:hAnsi="Arial"/>
          <w:sz w:val="20"/>
          <w:szCs w:val="20"/>
          <w:lang w:val="en-US"/>
        </w:rPr>
        <w:t xml:space="preserve"> of centromeric and heterochromatic localization of HMR. Error bars represent standard </w:t>
      </w:r>
      <w:r>
        <w:rPr>
          <w:rFonts w:ascii="Arial" w:hAnsi="Arial"/>
          <w:sz w:val="20"/>
          <w:szCs w:val="20"/>
          <w:lang w:val="en-US"/>
        </w:rPr>
        <w:lastRenderedPageBreak/>
        <w:t xml:space="preserve">deviation. </w:t>
      </w:r>
      <w:r w:rsidRPr="007B78DE">
        <w:rPr>
          <w:rFonts w:ascii="Arial" w:hAnsi="Arial"/>
          <w:b/>
          <w:sz w:val="20"/>
          <w:szCs w:val="20"/>
          <w:lang w:val="en-US"/>
        </w:rPr>
        <w:t>(C)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Confirmation of </w:t>
      </w:r>
      <w:proofErr w:type="spellStart"/>
      <w:r>
        <w:rPr>
          <w:rFonts w:ascii="Arial" w:hAnsi="Arial"/>
          <w:sz w:val="20"/>
          <w:szCs w:val="20"/>
          <w:lang w:val="en-US"/>
        </w:rPr>
        <w:t>cohesin</w:t>
      </w:r>
      <w:proofErr w:type="spellEnd"/>
      <w:r>
        <w:rPr>
          <w:rFonts w:ascii="Arial" w:hAnsi="Arial"/>
          <w:sz w:val="20"/>
          <w:szCs w:val="20"/>
          <w:lang w:val="en-US"/>
        </w:rPr>
        <w:t>/</w:t>
      </w:r>
      <w:proofErr w:type="spellStart"/>
      <w:r>
        <w:rPr>
          <w:rFonts w:ascii="Arial" w:hAnsi="Arial"/>
          <w:sz w:val="20"/>
          <w:szCs w:val="20"/>
          <w:lang w:val="en-US"/>
        </w:rPr>
        <w:t>condensin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subunits’ knockdown by RT-qPCR. Error bars represent standard deviation from 2 independent experiments.</w:t>
      </w:r>
    </w:p>
    <w:p w14:paraId="526D90F9" w14:textId="77777777" w:rsidR="000D174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>Table S1</w:t>
      </w:r>
      <w:r w:rsidRPr="00A36D56">
        <w:rPr>
          <w:rFonts w:ascii="Arial" w:hAnsi="Arial"/>
          <w:b/>
          <w:sz w:val="20"/>
          <w:szCs w:val="20"/>
          <w:lang w:val="en-US"/>
        </w:rPr>
        <w:t>: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List of primers used for cloning of </w:t>
      </w:r>
      <w:proofErr w:type="spellStart"/>
      <w:r>
        <w:rPr>
          <w:rFonts w:ascii="Arial" w:hAnsi="Arial"/>
          <w:sz w:val="20"/>
          <w:szCs w:val="20"/>
          <w:lang w:val="en-US"/>
        </w:rPr>
        <w:t>Myc</w:t>
      </w:r>
      <w:proofErr w:type="spellEnd"/>
      <w:r>
        <w:rPr>
          <w:rFonts w:ascii="Arial" w:hAnsi="Arial"/>
          <w:sz w:val="20"/>
          <w:szCs w:val="20"/>
          <w:lang w:val="en-US"/>
        </w:rPr>
        <w:t>-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-APEX, </w:t>
      </w:r>
      <w:proofErr w:type="spellStart"/>
      <w:r>
        <w:rPr>
          <w:rFonts w:ascii="Arial" w:hAnsi="Arial"/>
          <w:sz w:val="20"/>
          <w:szCs w:val="20"/>
          <w:lang w:val="en-US"/>
        </w:rPr>
        <w:t>Myc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-HMR-APEX, Flag-HA-HP1a-APEX, Flag-HA-APEX2-2xNLS and GST-APEX2 constructs. List of primers for </w:t>
      </w:r>
      <w:proofErr w:type="spellStart"/>
      <w:r>
        <w:rPr>
          <w:rFonts w:ascii="Arial" w:hAnsi="Arial"/>
          <w:sz w:val="20"/>
          <w:szCs w:val="20"/>
          <w:lang w:val="en-US"/>
        </w:rPr>
        <w:t>dsRNAs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generation and RT-qPCR.</w:t>
      </w:r>
    </w:p>
    <w:p w14:paraId="505F7D98" w14:textId="77777777" w:rsidR="000D174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1F6C86">
        <w:rPr>
          <w:rFonts w:ascii="Arial" w:hAnsi="Arial"/>
          <w:b/>
          <w:sz w:val="20"/>
          <w:szCs w:val="20"/>
          <w:lang w:val="en-US"/>
        </w:rPr>
        <w:t>Table S</w:t>
      </w:r>
      <w:r>
        <w:rPr>
          <w:rFonts w:ascii="Arial" w:hAnsi="Arial"/>
          <w:b/>
          <w:sz w:val="20"/>
          <w:szCs w:val="20"/>
          <w:lang w:val="en-US"/>
        </w:rPr>
        <w:t>2</w:t>
      </w:r>
      <w:r w:rsidRPr="001F6C86">
        <w:rPr>
          <w:rFonts w:ascii="Arial" w:hAnsi="Arial"/>
          <w:b/>
          <w:sz w:val="20"/>
          <w:szCs w:val="20"/>
          <w:lang w:val="en-US"/>
        </w:rPr>
        <w:t>: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Lists of proteins, enriched in 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r w:rsidRPr="003657B1">
        <w:rPr>
          <w:rFonts w:ascii="Arial" w:hAnsi="Arial"/>
          <w:sz w:val="20"/>
          <w:szCs w:val="20"/>
          <w:vertAlign w:val="subscript"/>
          <w:lang w:val="en-US"/>
        </w:rPr>
        <w:t>AP</w:t>
      </w:r>
      <w:proofErr w:type="spellEnd"/>
      <w:r>
        <w:rPr>
          <w:rFonts w:ascii="Arial" w:hAnsi="Arial"/>
          <w:sz w:val="20"/>
          <w:szCs w:val="20"/>
          <w:lang w:val="en-US"/>
        </w:rPr>
        <w:t>,</w:t>
      </w:r>
      <w:r>
        <w:rPr>
          <w:rFonts w:ascii="Arial" w:hAnsi="Arial"/>
          <w:sz w:val="20"/>
          <w:szCs w:val="20"/>
          <w:vertAlign w:val="subscript"/>
          <w:lang w:val="en-US"/>
        </w:rPr>
        <w:t xml:space="preserve"> </w:t>
      </w:r>
      <w:r w:rsidRPr="007F0B20">
        <w:rPr>
          <w:rFonts w:ascii="Arial" w:hAnsi="Arial"/>
          <w:sz w:val="20"/>
          <w:szCs w:val="20"/>
          <w:lang w:val="en-US"/>
        </w:rPr>
        <w:t>HMR</w:t>
      </w:r>
      <w:r w:rsidRPr="007F0B20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>, HP1a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 xml:space="preserve"> and APEX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NLS</w:t>
      </w:r>
      <w:r>
        <w:rPr>
          <w:rFonts w:ascii="Arial" w:hAnsi="Arial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>pulldowns from treated against untreated cells.</w:t>
      </w:r>
    </w:p>
    <w:p w14:paraId="7A620196" w14:textId="77777777" w:rsidR="000D174D" w:rsidRPr="00EA77D1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3657B1">
        <w:rPr>
          <w:rFonts w:ascii="Arial" w:hAnsi="Arial"/>
          <w:b/>
          <w:sz w:val="20"/>
          <w:szCs w:val="20"/>
          <w:lang w:val="en-US"/>
        </w:rPr>
        <w:t>Table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 w:rsidRPr="003657B1">
        <w:rPr>
          <w:rFonts w:ascii="Arial" w:hAnsi="Arial"/>
          <w:b/>
          <w:sz w:val="20"/>
          <w:szCs w:val="20"/>
          <w:lang w:val="en-US"/>
        </w:rPr>
        <w:t>S3:</w:t>
      </w:r>
      <w:r>
        <w:rPr>
          <w:rFonts w:ascii="Arial" w:hAnsi="Arial"/>
          <w:sz w:val="20"/>
          <w:szCs w:val="20"/>
          <w:lang w:val="en-US"/>
        </w:rPr>
        <w:t xml:space="preserve"> List of proteins enriched in 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r w:rsidRPr="002C39D5">
        <w:rPr>
          <w:rFonts w:ascii="Arial" w:hAnsi="Arial"/>
          <w:sz w:val="20"/>
          <w:szCs w:val="20"/>
          <w:vertAlign w:val="subscript"/>
          <w:lang w:val="en-US"/>
        </w:rPr>
        <w:t>AP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, </w:t>
      </w:r>
      <w:r w:rsidRPr="007F0B20">
        <w:rPr>
          <w:rFonts w:ascii="Arial" w:hAnsi="Arial"/>
          <w:sz w:val="20"/>
          <w:szCs w:val="20"/>
          <w:lang w:val="en-US"/>
        </w:rPr>
        <w:t>HMR</w:t>
      </w:r>
      <w:r w:rsidRPr="007F0B20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 xml:space="preserve"> and HP1a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 xml:space="preserve"> pulldowns against APEX2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NLS</w:t>
      </w:r>
      <w:r w:rsidRPr="001F6C86">
        <w:rPr>
          <w:rFonts w:ascii="Arial" w:hAnsi="Arial"/>
          <w:sz w:val="20"/>
          <w:szCs w:val="20"/>
          <w:lang w:val="en-US"/>
        </w:rPr>
        <w:t>.</w:t>
      </w:r>
    </w:p>
    <w:p w14:paraId="1CE3E1BD" w14:textId="77777777" w:rsidR="000D174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b/>
          <w:sz w:val="20"/>
          <w:szCs w:val="20"/>
          <w:lang w:val="en-US"/>
        </w:rPr>
        <w:t>Table S4</w:t>
      </w:r>
      <w:r w:rsidRPr="00A36D56">
        <w:rPr>
          <w:rFonts w:ascii="Arial" w:hAnsi="Arial"/>
          <w:b/>
          <w:sz w:val="20"/>
          <w:szCs w:val="20"/>
          <w:lang w:val="en-US"/>
        </w:rPr>
        <w:t>: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 xml:space="preserve">GO term analysis of proteins enriched in 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r w:rsidRPr="002C39D5">
        <w:rPr>
          <w:rFonts w:ascii="Arial" w:hAnsi="Arial"/>
          <w:sz w:val="20"/>
          <w:szCs w:val="20"/>
          <w:vertAlign w:val="subscript"/>
          <w:lang w:val="en-US"/>
        </w:rPr>
        <w:t>AP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, </w:t>
      </w:r>
      <w:r w:rsidRPr="007F0B20">
        <w:rPr>
          <w:rFonts w:ascii="Arial" w:hAnsi="Arial"/>
          <w:sz w:val="20"/>
          <w:szCs w:val="20"/>
          <w:lang w:val="en-US"/>
        </w:rPr>
        <w:t>HMR</w:t>
      </w:r>
      <w:r w:rsidRPr="007F0B20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 xml:space="preserve"> and HP1a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AP</w:t>
      </w:r>
      <w:r>
        <w:rPr>
          <w:rFonts w:ascii="Arial" w:hAnsi="Arial"/>
          <w:sz w:val="20"/>
          <w:szCs w:val="20"/>
          <w:lang w:val="en-US"/>
        </w:rPr>
        <w:t>, but not APEX2</w:t>
      </w:r>
      <w:r w:rsidRPr="00A36D56">
        <w:rPr>
          <w:rFonts w:ascii="Arial" w:hAnsi="Arial"/>
          <w:sz w:val="20"/>
          <w:szCs w:val="20"/>
          <w:vertAlign w:val="subscript"/>
          <w:lang w:val="en-US"/>
        </w:rPr>
        <w:t>NLS</w:t>
      </w:r>
      <w:r>
        <w:rPr>
          <w:rFonts w:ascii="Arial" w:hAnsi="Arial"/>
          <w:sz w:val="20"/>
          <w:szCs w:val="20"/>
          <w:vertAlign w:val="subscript"/>
          <w:lang w:val="en-US"/>
        </w:rPr>
        <w:t xml:space="preserve"> </w:t>
      </w:r>
      <w:r>
        <w:rPr>
          <w:rFonts w:ascii="Arial" w:hAnsi="Arial"/>
          <w:sz w:val="20"/>
          <w:szCs w:val="20"/>
          <w:lang w:val="en-US"/>
        </w:rPr>
        <w:t>pulldowns.</w:t>
      </w:r>
    </w:p>
    <w:p w14:paraId="6D57C814" w14:textId="77777777" w:rsidR="000D174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7B78DE">
        <w:rPr>
          <w:rFonts w:ascii="Arial" w:hAnsi="Arial"/>
          <w:b/>
          <w:sz w:val="20"/>
          <w:szCs w:val="20"/>
          <w:lang w:val="en-US"/>
        </w:rPr>
        <w:t>Table S5:</w:t>
      </w:r>
      <w:r>
        <w:rPr>
          <w:rFonts w:ascii="Arial" w:hAnsi="Arial"/>
          <w:sz w:val="20"/>
          <w:szCs w:val="20"/>
          <w:lang w:val="en-US"/>
        </w:rPr>
        <w:t xml:space="preserve"> List of proteins shown to localize to centromeres by immunofluorescence in </w:t>
      </w:r>
      <w:r w:rsidRPr="007B78DE">
        <w:rPr>
          <w:rFonts w:ascii="Arial" w:hAnsi="Arial"/>
          <w:i/>
          <w:sz w:val="20"/>
          <w:szCs w:val="20"/>
          <w:lang w:val="en-US"/>
        </w:rPr>
        <w:t>Drosophila</w:t>
      </w:r>
      <w:r>
        <w:rPr>
          <w:rFonts w:ascii="Arial" w:hAnsi="Arial"/>
          <w:sz w:val="20"/>
          <w:szCs w:val="20"/>
          <w:lang w:val="en-US"/>
        </w:rPr>
        <w:t xml:space="preserve"> (to our knowledge) and references.</w:t>
      </w:r>
    </w:p>
    <w:p w14:paraId="5BA39EDA" w14:textId="77777777" w:rsidR="000D174D" w:rsidRPr="000D3B7D" w:rsidRDefault="000D174D" w:rsidP="000D174D">
      <w:pPr>
        <w:spacing w:line="360" w:lineRule="auto"/>
        <w:jc w:val="both"/>
        <w:rPr>
          <w:rFonts w:ascii="Arial" w:hAnsi="Arial"/>
          <w:sz w:val="20"/>
          <w:szCs w:val="20"/>
          <w:lang w:val="en-US"/>
        </w:rPr>
      </w:pPr>
      <w:r w:rsidRPr="007B78DE">
        <w:rPr>
          <w:rFonts w:ascii="Arial" w:hAnsi="Arial"/>
          <w:b/>
          <w:sz w:val="20"/>
          <w:szCs w:val="20"/>
          <w:lang w:val="en-US"/>
        </w:rPr>
        <w:t>Table S6:</w:t>
      </w:r>
      <w:r>
        <w:rPr>
          <w:rFonts w:ascii="Arial" w:hAnsi="Arial"/>
          <w:b/>
          <w:sz w:val="20"/>
          <w:szCs w:val="20"/>
          <w:lang w:val="en-US"/>
        </w:rPr>
        <w:t xml:space="preserve"> </w:t>
      </w:r>
      <w:r w:rsidRPr="007B78DE">
        <w:rPr>
          <w:rFonts w:ascii="Arial" w:hAnsi="Arial"/>
          <w:sz w:val="20"/>
          <w:szCs w:val="20"/>
          <w:lang w:val="en-US"/>
        </w:rPr>
        <w:t>Lis</w:t>
      </w:r>
      <w:r>
        <w:rPr>
          <w:rFonts w:ascii="Arial" w:hAnsi="Arial"/>
          <w:sz w:val="20"/>
          <w:szCs w:val="20"/>
          <w:lang w:val="en-US"/>
        </w:rPr>
        <w:t xml:space="preserve">t of GSEs of </w:t>
      </w:r>
      <w:proofErr w:type="spellStart"/>
      <w:r>
        <w:rPr>
          <w:rFonts w:ascii="Arial" w:hAnsi="Arial"/>
          <w:sz w:val="20"/>
          <w:szCs w:val="20"/>
          <w:lang w:val="en-US"/>
        </w:rPr>
        <w:t>ChIP-sequecing</w:t>
      </w:r>
      <w:proofErr w:type="spellEnd"/>
      <w:r>
        <w:rPr>
          <w:rFonts w:ascii="Arial" w:hAnsi="Arial"/>
          <w:sz w:val="20"/>
          <w:szCs w:val="20"/>
          <w:lang w:val="en-US"/>
        </w:rPr>
        <w:t xml:space="preserve"> profiles used for comparison in Fig. 4C and D.</w:t>
      </w:r>
    </w:p>
    <w:p w14:paraId="2F11E724" w14:textId="77777777" w:rsidR="000D174D" w:rsidRDefault="000D174D" w:rsidP="000D174D">
      <w:pPr>
        <w:spacing w:line="360" w:lineRule="auto"/>
        <w:rPr>
          <w:rFonts w:ascii="Arial" w:hAnsi="Arial"/>
          <w:sz w:val="20"/>
          <w:szCs w:val="20"/>
          <w:lang w:val="en-US"/>
        </w:rPr>
      </w:pPr>
      <w:r w:rsidRPr="001F6C86">
        <w:rPr>
          <w:rFonts w:ascii="Arial" w:hAnsi="Arial"/>
          <w:b/>
          <w:sz w:val="20"/>
          <w:szCs w:val="20"/>
          <w:lang w:val="en-US"/>
        </w:rPr>
        <w:t>Movie S1</w:t>
      </w:r>
      <w:r>
        <w:rPr>
          <w:rFonts w:ascii="Arial" w:hAnsi="Arial"/>
          <w:b/>
          <w:sz w:val="20"/>
          <w:szCs w:val="20"/>
          <w:lang w:val="en-US"/>
        </w:rPr>
        <w:t>:</w:t>
      </w:r>
      <w:r w:rsidRPr="00C14345">
        <w:rPr>
          <w:rFonts w:ascii="Arial" w:hAnsi="Arial"/>
          <w:sz w:val="20"/>
          <w:szCs w:val="20"/>
          <w:lang w:val="en-US"/>
        </w:rPr>
        <w:t xml:space="preserve"> 3D reconstruction from confocal HP1a (green) and </w:t>
      </w:r>
      <w:r>
        <w:rPr>
          <w:rFonts w:ascii="Arial" w:hAnsi="Arial"/>
          <w:sz w:val="20"/>
          <w:szCs w:val="20"/>
          <w:lang w:val="en-US"/>
        </w:rPr>
        <w:t>super</w:t>
      </w:r>
      <w:r w:rsidRPr="00C14345">
        <w:rPr>
          <w:rFonts w:ascii="Arial" w:hAnsi="Arial"/>
          <w:sz w:val="20"/>
          <w:szCs w:val="20"/>
          <w:lang w:val="en-US"/>
        </w:rPr>
        <w:t xml:space="preserve"> resolution STED HMR (red) and </w:t>
      </w:r>
      <w:proofErr w:type="spellStart"/>
      <w:r>
        <w:rPr>
          <w:rFonts w:ascii="Arial" w:hAnsi="Arial"/>
          <w:sz w:val="20"/>
          <w:szCs w:val="20"/>
          <w:lang w:val="en-US"/>
        </w:rPr>
        <w:t>dCenpA</w:t>
      </w:r>
      <w:proofErr w:type="spellEnd"/>
      <w:r w:rsidRPr="00C14345">
        <w:rPr>
          <w:rFonts w:ascii="Arial" w:hAnsi="Arial"/>
          <w:sz w:val="20"/>
          <w:szCs w:val="20"/>
          <w:lang w:val="en-US"/>
        </w:rPr>
        <w:t xml:space="preserve"> (blue) microscopy.</w:t>
      </w:r>
    </w:p>
    <w:p w14:paraId="24975BC7" w14:textId="77777777" w:rsidR="006216FC" w:rsidRPr="000D174D" w:rsidRDefault="006216FC">
      <w:pPr>
        <w:rPr>
          <w:lang w:val="en-US"/>
        </w:rPr>
      </w:pPr>
      <w:bookmarkStart w:id="0" w:name="_GoBack"/>
      <w:bookmarkEnd w:id="0"/>
    </w:p>
    <w:sectPr w:rsidR="006216FC" w:rsidRPr="000D174D" w:rsidSect="0086300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74D"/>
    <w:rsid w:val="00017542"/>
    <w:rsid w:val="000707C7"/>
    <w:rsid w:val="000D174D"/>
    <w:rsid w:val="0014794F"/>
    <w:rsid w:val="002C35B2"/>
    <w:rsid w:val="0032589B"/>
    <w:rsid w:val="0033770F"/>
    <w:rsid w:val="003A1D1F"/>
    <w:rsid w:val="003A77F9"/>
    <w:rsid w:val="003C63C7"/>
    <w:rsid w:val="00401FD5"/>
    <w:rsid w:val="00547359"/>
    <w:rsid w:val="005677BF"/>
    <w:rsid w:val="005F71A2"/>
    <w:rsid w:val="006216FC"/>
    <w:rsid w:val="00623375"/>
    <w:rsid w:val="006A290C"/>
    <w:rsid w:val="006B7E96"/>
    <w:rsid w:val="007332CA"/>
    <w:rsid w:val="007472BF"/>
    <w:rsid w:val="00785F36"/>
    <w:rsid w:val="008509C0"/>
    <w:rsid w:val="0086300C"/>
    <w:rsid w:val="00870DA6"/>
    <w:rsid w:val="008A6465"/>
    <w:rsid w:val="008C340F"/>
    <w:rsid w:val="00953B7D"/>
    <w:rsid w:val="00991378"/>
    <w:rsid w:val="009D64B3"/>
    <w:rsid w:val="00A04812"/>
    <w:rsid w:val="00A873C6"/>
    <w:rsid w:val="00A94EF1"/>
    <w:rsid w:val="00B05DBA"/>
    <w:rsid w:val="00B5311C"/>
    <w:rsid w:val="00BB339B"/>
    <w:rsid w:val="00BD604B"/>
    <w:rsid w:val="00BE73D8"/>
    <w:rsid w:val="00BF04F0"/>
    <w:rsid w:val="00C12BB0"/>
    <w:rsid w:val="00C2022F"/>
    <w:rsid w:val="00CA4944"/>
    <w:rsid w:val="00CC1751"/>
    <w:rsid w:val="00D41432"/>
    <w:rsid w:val="00D50A05"/>
    <w:rsid w:val="00D84122"/>
    <w:rsid w:val="00DB5824"/>
    <w:rsid w:val="00DD5D0E"/>
    <w:rsid w:val="00ED3995"/>
    <w:rsid w:val="00F0165C"/>
    <w:rsid w:val="00F64214"/>
    <w:rsid w:val="00FF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0345D4"/>
  <w15:chartTrackingRefBased/>
  <w15:docId w15:val="{5AD35D97-6438-5A4C-9A11-7E8CF2A4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74D"/>
    <w:pPr>
      <w:spacing w:after="200" w:line="276" w:lineRule="auto"/>
    </w:pPr>
    <w:rPr>
      <w:rFonts w:ascii="Calibri" w:eastAsia="SimSun" w:hAnsi="Calibri" w:cs="Arial"/>
      <w:sz w:val="22"/>
      <w:szCs w:val="2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Imhof</dc:creator>
  <cp:keywords/>
  <dc:description/>
  <cp:lastModifiedBy>Axel Imhof</cp:lastModifiedBy>
  <cp:revision>1</cp:revision>
  <dcterms:created xsi:type="dcterms:W3CDTF">2019-10-18T06:27:00Z</dcterms:created>
  <dcterms:modified xsi:type="dcterms:W3CDTF">2019-10-18T06:28:00Z</dcterms:modified>
</cp:coreProperties>
</file>